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111" w:rsidRDefault="0034153C" w:rsidP="0034153C">
      <w:pPr>
        <w:pStyle w:val="ab"/>
      </w:pPr>
      <w:r>
        <w:rPr>
          <w:rFonts w:hint="eastAsia"/>
        </w:rPr>
        <w:t>Supplementary</w:t>
      </w:r>
      <w:r w:rsidR="00FC6E29">
        <w:rPr>
          <w:rFonts w:hint="eastAsia"/>
        </w:rPr>
        <w:t xml:space="preserve"> Table 1.</w:t>
      </w:r>
      <w:r w:rsidR="00FC6E29">
        <w:t xml:space="preserve"> </w:t>
      </w:r>
      <w:r w:rsidR="00FC6E29">
        <w:rPr>
          <w:rFonts w:hint="eastAsia"/>
        </w:rPr>
        <w:t>Clinical centers</w:t>
      </w:r>
      <w:r>
        <w:t>.</w:t>
      </w:r>
    </w:p>
    <w:tbl>
      <w:tblPr>
        <w:tblStyle w:val="a9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9"/>
        <w:gridCol w:w="1309"/>
      </w:tblGrid>
      <w:tr w:rsidR="009C2111" w:rsidTr="00A73593">
        <w:trPr>
          <w:trHeight w:val="783"/>
          <w:jc w:val="center"/>
        </w:trPr>
        <w:tc>
          <w:tcPr>
            <w:tcW w:w="8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111" w:rsidRDefault="00FC6E29" w:rsidP="0034153C">
            <w:pPr>
              <w:ind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Institutions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111" w:rsidRDefault="00FC6E29" w:rsidP="0034153C">
            <w:pPr>
              <w:ind w:firstLineChars="0" w:firstLine="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Patients included</w:t>
            </w:r>
          </w:p>
        </w:tc>
      </w:tr>
      <w:tr w:rsidR="009C2111" w:rsidTr="00875396">
        <w:trPr>
          <w:trHeight w:val="369"/>
          <w:jc w:val="center"/>
        </w:trPr>
        <w:tc>
          <w:tcPr>
            <w:tcW w:w="8358" w:type="dxa"/>
            <w:tcBorders>
              <w:top w:val="single" w:sz="4" w:space="0" w:color="auto"/>
            </w:tcBorders>
            <w:vAlign w:val="center"/>
          </w:tcPr>
          <w:p w:rsidR="009C2111" w:rsidRDefault="00FC6E29" w:rsidP="0034153C">
            <w:pPr>
              <w:ind w:firstLine="480"/>
              <w:rPr>
                <w:b/>
                <w:bCs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The First Affiliated Hospital of the Navy Medical University, Shanghai, China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:rsidR="009C2111" w:rsidRDefault="00FC6E29" w:rsidP="0034153C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427</w:t>
            </w:r>
          </w:p>
        </w:tc>
      </w:tr>
      <w:tr w:rsidR="009C2111" w:rsidTr="00875396">
        <w:trPr>
          <w:trHeight w:val="369"/>
          <w:jc w:val="center"/>
        </w:trPr>
        <w:tc>
          <w:tcPr>
            <w:tcW w:w="8358" w:type="dxa"/>
            <w:vAlign w:val="center"/>
          </w:tcPr>
          <w:p w:rsidR="009C2111" w:rsidRDefault="000B0BEC" w:rsidP="0034153C">
            <w:pPr>
              <w:ind w:firstLine="480"/>
              <w:rPr>
                <w:b/>
                <w:bCs/>
                <w:sz w:val="24"/>
                <w:szCs w:val="24"/>
              </w:rPr>
            </w:pPr>
            <w:r w:rsidRPr="000B0BEC">
              <w:rPr>
                <w:rFonts w:eastAsia="宋体"/>
                <w:sz w:val="24"/>
                <w:szCs w:val="24"/>
              </w:rPr>
              <w:t>Jiangmen Central Hospital</w:t>
            </w:r>
            <w:r>
              <w:rPr>
                <w:rFonts w:eastAsia="宋体"/>
                <w:sz w:val="24"/>
                <w:szCs w:val="24"/>
              </w:rPr>
              <w:t>, Guangdong, China</w:t>
            </w:r>
            <w:bookmarkStart w:id="0" w:name="_GoBack"/>
            <w:bookmarkEnd w:id="0"/>
          </w:p>
        </w:tc>
        <w:tc>
          <w:tcPr>
            <w:tcW w:w="1310" w:type="dxa"/>
            <w:vAlign w:val="center"/>
          </w:tcPr>
          <w:p w:rsidR="009C2111" w:rsidRDefault="00FC6E29" w:rsidP="0034153C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</w:p>
        </w:tc>
      </w:tr>
      <w:tr w:rsidR="009C2111" w:rsidTr="00875396">
        <w:trPr>
          <w:trHeight w:val="369"/>
          <w:jc w:val="center"/>
        </w:trPr>
        <w:tc>
          <w:tcPr>
            <w:tcW w:w="8358" w:type="dxa"/>
            <w:vAlign w:val="center"/>
          </w:tcPr>
          <w:p w:rsidR="009C2111" w:rsidRDefault="00FC6E29" w:rsidP="0034153C">
            <w:pPr>
              <w:ind w:firstLine="480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T</w:t>
            </w:r>
            <w:r>
              <w:rPr>
                <w:rFonts w:eastAsia="宋体"/>
                <w:sz w:val="24"/>
                <w:szCs w:val="24"/>
              </w:rPr>
              <w:t>he</w:t>
            </w:r>
            <w:r>
              <w:rPr>
                <w:rFonts w:eastAsia="宋体" w:hint="eastAsia"/>
                <w:sz w:val="24"/>
                <w:szCs w:val="24"/>
              </w:rPr>
              <w:t xml:space="preserve"> First</w:t>
            </w:r>
            <w:r>
              <w:rPr>
                <w:rFonts w:eastAsia="宋体"/>
                <w:sz w:val="24"/>
                <w:szCs w:val="24"/>
              </w:rPr>
              <w:t xml:space="preserve"> Affiliated Hospital of Qingdao University, Qingdao, Shandong</w:t>
            </w:r>
            <w:r>
              <w:rPr>
                <w:rFonts w:eastAsia="宋体" w:hint="eastAsia"/>
                <w:sz w:val="24"/>
                <w:szCs w:val="24"/>
              </w:rPr>
              <w:t>, China</w:t>
            </w:r>
          </w:p>
        </w:tc>
        <w:tc>
          <w:tcPr>
            <w:tcW w:w="1310" w:type="dxa"/>
            <w:vAlign w:val="center"/>
          </w:tcPr>
          <w:p w:rsidR="009C2111" w:rsidRDefault="00FC6E29" w:rsidP="0034153C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227</w:t>
            </w:r>
          </w:p>
        </w:tc>
      </w:tr>
    </w:tbl>
    <w:p w:rsidR="009C2111" w:rsidRDefault="009C2111" w:rsidP="00FC6E29">
      <w:pPr>
        <w:ind w:firstLine="420"/>
        <w:rPr>
          <w:rFonts w:eastAsiaTheme="minorEastAsia"/>
        </w:rPr>
      </w:pPr>
    </w:p>
    <w:p w:rsidR="00FC6E29" w:rsidRPr="00FC6E29" w:rsidRDefault="00FC6E29" w:rsidP="00FC6E29">
      <w:pPr>
        <w:ind w:firstLine="420"/>
        <w:rPr>
          <w:rFonts w:eastAsiaTheme="minorEastAsia"/>
        </w:rPr>
      </w:pPr>
    </w:p>
    <w:p w:rsidR="009C2111" w:rsidRDefault="0034153C" w:rsidP="0034153C">
      <w:pPr>
        <w:pStyle w:val="ab"/>
      </w:pPr>
      <w:r>
        <w:rPr>
          <w:rFonts w:hint="eastAsia"/>
        </w:rPr>
        <w:t>Supplementary</w:t>
      </w:r>
      <w:r w:rsidR="00FC6E29">
        <w:rPr>
          <w:rFonts w:hint="eastAsia"/>
        </w:rPr>
        <w:t xml:space="preserve"> Table 2</w:t>
      </w:r>
      <w:r w:rsidR="00FC6E29">
        <w:t>. Short-term outcomes in the overall and matched population</w:t>
      </w:r>
      <w:r>
        <w:t>.</w:t>
      </w:r>
    </w:p>
    <w:tbl>
      <w:tblPr>
        <w:tblW w:w="10775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851"/>
        <w:gridCol w:w="851"/>
        <w:gridCol w:w="1134"/>
        <w:gridCol w:w="1134"/>
        <w:gridCol w:w="851"/>
        <w:gridCol w:w="851"/>
      </w:tblGrid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</w:rPr>
            </w:pP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Overall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Matched population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SRC group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Non-SRC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SMD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P value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SRC group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Non-SRC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SMD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P value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Variables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n=248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n=470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n=214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  <w:r w:rsidRPr="003A3C43">
              <w:rPr>
                <w:rFonts w:eastAsia="宋体"/>
                <w:b/>
                <w:bCs/>
                <w:color w:val="000000"/>
              </w:rPr>
              <w:t>n=214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</w:pP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ARAEs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14 (5.7%)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13 (2.8%)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11 (5.1%)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7 (3.3%)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0.335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Aortic-related mortality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9 (3.6%)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4 (0.9%)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8 (3.7%)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(1.4%)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0.127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Type I endoleak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(1.2%)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4 (0.9%)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0.642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(1.4%)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(0.5%)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0.615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New dissection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(0.4%)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(0.2%)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0.645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NA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NA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Retrograde 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(0.4%)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(0.6%)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(0.9%)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0.499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Rupture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8 (3.2%)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(0.4%)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7 (3.3%)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(0.5%)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0.032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Organ failure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(0.4%)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(0.4%)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 (0.5%)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(0.9%)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0.562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Cardiovascular events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(0.8%)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(0.6%)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0.797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2 (0.9%)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3 (1.4%)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0.653</w:t>
            </w:r>
          </w:p>
        </w:tc>
      </w:tr>
      <w:tr w:rsidR="003A3C43" w:rsidRPr="003A3C43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All-cause mortality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10 (4.0%)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6 (1.3%)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9 (4.2%)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4 (1.9%)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C43" w:rsidRPr="003A3C43" w:rsidRDefault="003A3C43" w:rsidP="003A3C43">
            <w:pPr>
              <w:pStyle w:val="afb"/>
              <w:rPr>
                <w:rFonts w:eastAsia="宋体"/>
                <w:color w:val="000000"/>
              </w:rPr>
            </w:pPr>
            <w:r w:rsidRPr="003A3C43">
              <w:rPr>
                <w:rFonts w:eastAsia="宋体"/>
                <w:color w:val="000000"/>
              </w:rPr>
              <w:t>0.159</w:t>
            </w:r>
          </w:p>
        </w:tc>
      </w:tr>
    </w:tbl>
    <w:p w:rsidR="009C2111" w:rsidRDefault="00FC6E29" w:rsidP="003A3C43">
      <w:pPr>
        <w:ind w:firstLineChars="0" w:firstLine="0"/>
      </w:pPr>
      <w:r>
        <w:t xml:space="preserve">Values are reported as n (%) or median (interquartile range). </w:t>
      </w:r>
      <w:r>
        <w:rPr>
          <w:rFonts w:hint="eastAsia"/>
        </w:rPr>
        <w:t>SRC</w:t>
      </w:r>
      <w:r w:rsidR="003A3C43">
        <w:t xml:space="preserve">, </w:t>
      </w:r>
      <w:r>
        <w:t>simple renal cyst; ARAEs</w:t>
      </w:r>
      <w:r w:rsidR="003A3C43">
        <w:t xml:space="preserve">, </w:t>
      </w:r>
      <w:r>
        <w:t>aortic-related adverse events; NA</w:t>
      </w:r>
      <w:r w:rsidR="003A3C43">
        <w:t xml:space="preserve">, </w:t>
      </w:r>
      <w:r>
        <w:t>not available; AD</w:t>
      </w:r>
      <w:r w:rsidR="003A3C43">
        <w:t xml:space="preserve">, </w:t>
      </w:r>
      <w:r>
        <w:t>aortic dissection; SMD</w:t>
      </w:r>
      <w:r w:rsidR="003A3C43">
        <w:t xml:space="preserve">, </w:t>
      </w:r>
      <w:r>
        <w:t>standardized mean difference.</w:t>
      </w:r>
    </w:p>
    <w:p w:rsidR="003A3C43" w:rsidRDefault="003A3C43" w:rsidP="003A3C43">
      <w:pPr>
        <w:ind w:firstLine="420"/>
        <w:rPr>
          <w:rFonts w:eastAsiaTheme="minorEastAsia"/>
        </w:rPr>
      </w:pPr>
    </w:p>
    <w:p w:rsidR="00FC6E29" w:rsidRPr="00FC6E29" w:rsidRDefault="00FC6E29" w:rsidP="003A3C43">
      <w:pPr>
        <w:ind w:firstLine="420"/>
        <w:rPr>
          <w:rFonts w:eastAsiaTheme="minorEastAsia"/>
        </w:rPr>
      </w:pPr>
    </w:p>
    <w:p w:rsidR="009C2111" w:rsidRDefault="0034153C" w:rsidP="003A3C43">
      <w:pPr>
        <w:pStyle w:val="ab"/>
      </w:pPr>
      <w:r>
        <w:rPr>
          <w:rFonts w:hint="eastAsia"/>
        </w:rPr>
        <w:t>Supplementary</w:t>
      </w:r>
      <w:r w:rsidR="00FC6E29">
        <w:rPr>
          <w:rFonts w:hint="eastAsia"/>
        </w:rPr>
        <w:t xml:space="preserve"> Table 3</w:t>
      </w:r>
      <w:r w:rsidR="00FC6E29">
        <w:t xml:space="preserve">. </w:t>
      </w:r>
      <w:r w:rsidR="00FC6E29">
        <w:rPr>
          <w:rFonts w:hint="eastAsia"/>
        </w:rPr>
        <w:t>Long-term</w:t>
      </w:r>
      <w:r w:rsidR="00FC6E29">
        <w:t xml:space="preserve"> outcomes in the </w:t>
      </w:r>
      <w:r w:rsidR="00FC6E29">
        <w:rPr>
          <w:rFonts w:hint="eastAsia"/>
        </w:rPr>
        <w:t>total</w:t>
      </w:r>
      <w:r w:rsidR="00FC6E29">
        <w:t xml:space="preserve"> population</w:t>
      </w:r>
      <w:r w:rsidR="003A3C43">
        <w:t>.</w:t>
      </w:r>
    </w:p>
    <w:tbl>
      <w:tblPr>
        <w:tblW w:w="8931" w:type="dxa"/>
        <w:jc w:val="center"/>
        <w:tblBorders>
          <w:top w:val="single" w:sz="24" w:space="0" w:color="000000"/>
          <w:bottom w:val="single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276"/>
        <w:gridCol w:w="992"/>
        <w:gridCol w:w="1276"/>
        <w:gridCol w:w="851"/>
      </w:tblGrid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SRC group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Non-SRC group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P value</w:t>
            </w: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Variables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n=248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n=470</w:t>
            </w: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C2111" w:rsidRPr="003A3C43" w:rsidRDefault="009C2111" w:rsidP="003A3C43">
            <w:pPr>
              <w:pStyle w:val="afb"/>
              <w:rPr>
                <w:b/>
              </w:rPr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Freedom from ARAEs</w:t>
            </w:r>
          </w:p>
        </w:tc>
        <w:tc>
          <w:tcPr>
            <w:tcW w:w="992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992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851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0.063</w:t>
            </w: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1 year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86.90%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(82.7-81.2)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91.30%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(88.8-93.9)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2 years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82.80%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(78.1-87.7)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88.30%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(85.3-91.3)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5 years</w:t>
            </w:r>
          </w:p>
        </w:tc>
        <w:tc>
          <w:tcPr>
            <w:tcW w:w="992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77.70%</w:t>
            </w:r>
          </w:p>
        </w:tc>
        <w:tc>
          <w:tcPr>
            <w:tcW w:w="1276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(72.1-83.8)</w:t>
            </w:r>
          </w:p>
        </w:tc>
        <w:tc>
          <w:tcPr>
            <w:tcW w:w="992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81.80%</w:t>
            </w:r>
          </w:p>
        </w:tc>
        <w:tc>
          <w:tcPr>
            <w:tcW w:w="1276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(77.8-86.0)</w:t>
            </w:r>
          </w:p>
        </w:tc>
        <w:tc>
          <w:tcPr>
            <w:tcW w:w="851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t>Freedom from all-cause mortality</w:t>
            </w: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851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0.054</w:t>
            </w: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1 year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90.70%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(87.2-94.4)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96.80%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(95.2-98.4)</w:t>
            </w:r>
          </w:p>
        </w:tc>
        <w:tc>
          <w:tcPr>
            <w:tcW w:w="851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2 years</w:t>
            </w:r>
          </w:p>
        </w:tc>
        <w:tc>
          <w:tcPr>
            <w:tcW w:w="992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90.30%</w:t>
            </w:r>
          </w:p>
        </w:tc>
        <w:tc>
          <w:tcPr>
            <w:tcW w:w="1276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(86.6-94.1)</w:t>
            </w:r>
          </w:p>
        </w:tc>
        <w:tc>
          <w:tcPr>
            <w:tcW w:w="992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95.30%</w:t>
            </w:r>
          </w:p>
        </w:tc>
        <w:tc>
          <w:tcPr>
            <w:tcW w:w="1276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(93.3-97.3)</w:t>
            </w:r>
          </w:p>
        </w:tc>
        <w:tc>
          <w:tcPr>
            <w:tcW w:w="851" w:type="dxa"/>
            <w:tcBorders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5 years</w:t>
            </w: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87.10%</w:t>
            </w: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(82.7-91.7)</w:t>
            </w: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89.90%</w:t>
            </w: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(86.8-93.2)</w:t>
            </w:r>
          </w:p>
        </w:tc>
        <w:tc>
          <w:tcPr>
            <w:tcW w:w="851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  <w:rPr>
                <w:b/>
              </w:rPr>
            </w:pPr>
            <w:r w:rsidRPr="003A3C43">
              <w:rPr>
                <w:b/>
              </w:rPr>
              <w:lastRenderedPageBreak/>
              <w:t>Freedom from cardiovascular events</w:t>
            </w: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992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1276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  <w:tc>
          <w:tcPr>
            <w:tcW w:w="851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0.414</w:t>
            </w: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1 year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95.20%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(92.5-98.0)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98.50%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(97.3-99.6)</w:t>
            </w:r>
          </w:p>
        </w:tc>
        <w:tc>
          <w:tcPr>
            <w:tcW w:w="851" w:type="dxa"/>
            <w:tcBorders>
              <w:top w:val="nil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2 years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94.20%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(91.2-97.3)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96.30%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(94.5-98.2)</w:t>
            </w:r>
          </w:p>
        </w:tc>
        <w:tc>
          <w:tcPr>
            <w:tcW w:w="85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  <w:tr w:rsidR="009C2111" w:rsidRPr="003A3C43" w:rsidTr="00875396">
        <w:trPr>
          <w:trHeight w:val="369"/>
          <w:jc w:val="center"/>
        </w:trPr>
        <w:tc>
          <w:tcPr>
            <w:tcW w:w="35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5 years</w:t>
            </w: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92.10%</w:t>
            </w:r>
          </w:p>
        </w:tc>
        <w:tc>
          <w:tcPr>
            <w:tcW w:w="127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(88.0-96.4)</w:t>
            </w: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92.90%</w:t>
            </w:r>
          </w:p>
        </w:tc>
        <w:tc>
          <w:tcPr>
            <w:tcW w:w="127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9C2111" w:rsidRPr="003A3C43" w:rsidRDefault="00FC6E29" w:rsidP="003A3C43">
            <w:pPr>
              <w:pStyle w:val="afb"/>
            </w:pPr>
            <w:r w:rsidRPr="003A3C43">
              <w:t>(90.1-95.8)</w:t>
            </w:r>
          </w:p>
        </w:tc>
        <w:tc>
          <w:tcPr>
            <w:tcW w:w="85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9C2111" w:rsidRPr="003A3C43" w:rsidRDefault="009C2111" w:rsidP="003A3C43">
            <w:pPr>
              <w:pStyle w:val="afb"/>
            </w:pPr>
          </w:p>
        </w:tc>
      </w:tr>
    </w:tbl>
    <w:p w:rsidR="009C2111" w:rsidRDefault="00FC6E29" w:rsidP="00F21C01">
      <w:pPr>
        <w:ind w:firstLineChars="0" w:firstLine="0"/>
      </w:pPr>
      <w:r>
        <w:rPr>
          <w:rFonts w:hint="eastAsia"/>
        </w:rPr>
        <w:t>Kaplan–Meier estimates for aortic-related mortality, all-cause mortality and cardiovascular events. SRC</w:t>
      </w:r>
      <w:r w:rsidR="00F21C01">
        <w:rPr>
          <w:rFonts w:hint="eastAsia"/>
        </w:rPr>
        <w:t xml:space="preserve">, </w:t>
      </w:r>
      <w:r>
        <w:rPr>
          <w:rFonts w:hint="eastAsia"/>
        </w:rPr>
        <w:t>simple renal cyst; ARAEs</w:t>
      </w:r>
      <w:r w:rsidR="00F21C01">
        <w:rPr>
          <w:rFonts w:hint="eastAsia"/>
        </w:rPr>
        <w:t xml:space="preserve">, </w:t>
      </w:r>
      <w:r>
        <w:rPr>
          <w:rFonts w:hint="eastAsia"/>
        </w:rPr>
        <w:t>aortic-related adverse events.</w:t>
      </w:r>
    </w:p>
    <w:p w:rsidR="00F21C01" w:rsidRDefault="00F21C01" w:rsidP="00FC6E29">
      <w:pPr>
        <w:ind w:firstLine="420"/>
        <w:rPr>
          <w:rFonts w:eastAsiaTheme="minorEastAsia"/>
        </w:rPr>
      </w:pPr>
    </w:p>
    <w:p w:rsidR="00FC6E29" w:rsidRPr="00FC6E29" w:rsidRDefault="00FC6E29" w:rsidP="00FC6E29">
      <w:pPr>
        <w:ind w:firstLine="420"/>
        <w:rPr>
          <w:rFonts w:eastAsiaTheme="minorEastAsia"/>
        </w:rPr>
      </w:pPr>
    </w:p>
    <w:p w:rsidR="009C2111" w:rsidRDefault="0034153C" w:rsidP="00F21C01">
      <w:pPr>
        <w:pStyle w:val="ab"/>
      </w:pPr>
      <w:r>
        <w:rPr>
          <w:rFonts w:hint="eastAsia"/>
        </w:rPr>
        <w:t>Supplementary</w:t>
      </w:r>
      <w:r w:rsidR="00FC6E29">
        <w:rPr>
          <w:rFonts w:hint="eastAsia"/>
        </w:rPr>
        <w:t xml:space="preserve"> Table 4</w:t>
      </w:r>
      <w:r w:rsidR="00FC6E29">
        <w:t xml:space="preserve">. </w:t>
      </w:r>
      <w:proofErr w:type="spellStart"/>
      <w:r w:rsidR="00FC6E29">
        <w:t>Univariable</w:t>
      </w:r>
      <w:proofErr w:type="spellEnd"/>
      <w:r w:rsidR="00FC6E29">
        <w:t xml:space="preserve"> Cox hazard analysis of ARAEs in the matched population</w:t>
      </w:r>
      <w:r w:rsidR="00F21C01"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2835"/>
        <w:gridCol w:w="1134"/>
      </w:tblGrid>
      <w:tr w:rsidR="00D60ABD" w:rsidRPr="00D60ABD" w:rsidTr="00A73593">
        <w:trPr>
          <w:trHeight w:val="594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Variables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Hazard ratio</w:t>
            </w:r>
            <w:r w:rsidRPr="00D60ABD">
              <w:rPr>
                <w:rFonts w:eastAsia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(95%</w:t>
            </w: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CI)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P</w:t>
            </w:r>
            <w:r w:rsidRPr="00D60ABD">
              <w:rPr>
                <w:rFonts w:eastAsia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value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SRC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1.80 (1.17, 2.80)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0.008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Age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1.00 (0.98, 1.02)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0.893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Male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1.22 (0.69, 2.17)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0.493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 w:hint="eastAsia"/>
                <w:kern w:val="0"/>
                <w:sz w:val="24"/>
                <w:szCs w:val="24"/>
              </w:rPr>
              <w:t>B</w:t>
            </w:r>
            <w:r w:rsidRPr="00D60ABD">
              <w:rPr>
                <w:rFonts w:eastAsia="宋体"/>
                <w:kern w:val="0"/>
                <w:sz w:val="24"/>
                <w:szCs w:val="24"/>
              </w:rPr>
              <w:t>MI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 xml:space="preserve">1.00 (0.94, 1.05)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0.869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Smoking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0.72 (0.47, 1.10)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0.123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Drinking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0.83 (0.49, 1.41)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0.496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Hypertension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1.73 (0.96, 3.13)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0.068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CAD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0.97 (0.39, 2.39)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0.944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Arrhythmia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0.65 (0.31, 1.34)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0.24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Stroke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2.97 (1.57, 5.60)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0.001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COPD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0.40 (0.15, 1.08)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0.072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Diabetes mellitus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0.88 (0.41, 1.91)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0.753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CKD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1.57 (0.68, 3.59)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0.29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SBP at admission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1.00 (0.99, 1.01)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0.914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DBP at admission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1.00 (0.98, 1.02)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0.878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Pleural effusion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1.26 (0.82, 1.93)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0.298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Malperfusion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2.16 (0.94, 4.96)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kern w:val="0"/>
                <w:sz w:val="24"/>
                <w:szCs w:val="24"/>
              </w:rPr>
              <w:t>0.069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Diameters of ascending aorta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1.41 (0.76, 2.64)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0.278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LVEF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1.02 (0.96, 1.09)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0.511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LVFS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1.03 (0.94, 1.12)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0.562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ACEI/ARB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1.25 (0.82, 1.92)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0.304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α-blocker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0.90 (0.58, 1.39)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0.628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β-blocker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0.87 (0.56, 1.37)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0.561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CCB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1.06 (0.66, 1.71)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0.804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diuretic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1.28 (0.72, 2.28)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0.391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Arch type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Reference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1.42 (0.67, 3.00)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0.359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lastRenderedPageBreak/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1.39 (0.85, 2.28)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0.196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Diameters of maximum ascending aorta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1.03 (0.97, 1.09)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0.358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Diameters of maximum descending aorta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1.02 (1.00, 1.04)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0.025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Calcification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None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Reference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Mild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0.91 (0.56, 1.48)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0.714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Moderate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1.38 (0.74, 2.58)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0.307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Severe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1.60 (0.57, 4.46)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0.369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Thrombosis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Patent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Reference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Partial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1.18 (0.73, 1.90)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0.503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Complete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0.95 (0.48, 1.87)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0.872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ULP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1.39 (0.64, 3.00)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0.404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Operation time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1.00 (1.00, 1.01)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0.075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Oversize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0.94 (0.86, 1.02)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0.126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Length of proximal landing zone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1.01 (0.98, 1.03)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0.566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Timing of operation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Acute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Reference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Subacute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1.33 (0.82, 2.14)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0.247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100" w:firstLine="241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Chronic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2.28 (1.30, 3.99)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0.004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Hybrid approach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2.97 (0.73, 12.07)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0.129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Chimney technique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1.81 (1.13, 2.88)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0.013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Adjunctive procedure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1.05 (0.62, 1.76)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0.861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1.01 (0.66, 1.55)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exact"/>
              <w:ind w:firstLineChars="0" w:firstLine="0"/>
              <w:rPr>
                <w:rFonts w:eastAsia="宋体"/>
                <w:color w:val="000000"/>
                <w:kern w:val="0"/>
                <w:sz w:val="24"/>
                <w:szCs w:val="24"/>
              </w:rPr>
            </w:pPr>
            <w:r w:rsidRPr="00D60ABD">
              <w:rPr>
                <w:rFonts w:eastAsia="宋体"/>
                <w:color w:val="000000"/>
                <w:kern w:val="0"/>
                <w:sz w:val="24"/>
                <w:szCs w:val="24"/>
              </w:rPr>
              <w:t>0.968</w:t>
            </w:r>
          </w:p>
        </w:tc>
      </w:tr>
    </w:tbl>
    <w:p w:rsidR="009C2111" w:rsidRDefault="00FC6E29" w:rsidP="00D60ABD">
      <w:pPr>
        <w:ind w:firstLineChars="0" w:firstLine="0"/>
      </w:pPr>
      <w:r>
        <w:t>ARAEs</w:t>
      </w:r>
      <w:r w:rsidR="00D60ABD">
        <w:t xml:space="preserve">, </w:t>
      </w:r>
      <w:r>
        <w:t>aortic-related adverse events; CI</w:t>
      </w:r>
      <w:r w:rsidR="00D60ABD">
        <w:t xml:space="preserve">, </w:t>
      </w:r>
      <w:r>
        <w:t xml:space="preserve">confidence interval; </w:t>
      </w:r>
      <w:r>
        <w:rPr>
          <w:rFonts w:hint="eastAsia"/>
        </w:rPr>
        <w:t>SRC</w:t>
      </w:r>
      <w:r w:rsidR="00D60ABD">
        <w:t xml:space="preserve">, </w:t>
      </w:r>
      <w:r>
        <w:t>simple renal cyst; BMI</w:t>
      </w:r>
      <w:r w:rsidR="00D60ABD">
        <w:t xml:space="preserve">, </w:t>
      </w:r>
      <w:r>
        <w:t>body mass index; CAD</w:t>
      </w:r>
      <w:r w:rsidR="00D60ABD">
        <w:t xml:space="preserve">, </w:t>
      </w:r>
      <w:r>
        <w:t>coronary artery disease; COPD</w:t>
      </w:r>
      <w:r w:rsidR="00D60ABD">
        <w:t xml:space="preserve">, </w:t>
      </w:r>
      <w:r>
        <w:t>chronic occlusive pulmonary disease; CKD</w:t>
      </w:r>
      <w:r w:rsidR="00D60ABD">
        <w:t xml:space="preserve">, </w:t>
      </w:r>
      <w:r>
        <w:t>chronic kidney disease; SBP</w:t>
      </w:r>
      <w:r w:rsidR="00D60ABD">
        <w:t xml:space="preserve">, </w:t>
      </w:r>
      <w:r>
        <w:t>systolic blood pressure; DBP</w:t>
      </w:r>
      <w:r w:rsidR="00D60ABD">
        <w:t xml:space="preserve">, </w:t>
      </w:r>
      <w:r>
        <w:t>diastolic blood pressure; LVEF</w:t>
      </w:r>
      <w:r w:rsidR="00D60ABD">
        <w:t xml:space="preserve">, </w:t>
      </w:r>
      <w:r>
        <w:t>left ventricular ejection fraction; LVFS</w:t>
      </w:r>
      <w:r w:rsidR="00D60ABD">
        <w:t xml:space="preserve">, </w:t>
      </w:r>
      <w:r>
        <w:t>left ventricular fraction shortening; ACEI/ARB</w:t>
      </w:r>
      <w:r w:rsidR="00D60ABD">
        <w:t xml:space="preserve">, </w:t>
      </w:r>
      <w:r>
        <w:t>angiotensin-converting enzyme inhibitor/angiotensin receptor blocker; ULP</w:t>
      </w:r>
      <w:r w:rsidR="00D60ABD">
        <w:t xml:space="preserve">, </w:t>
      </w:r>
      <w:r>
        <w:t>ulcer-like projection.</w:t>
      </w:r>
    </w:p>
    <w:p w:rsidR="00D60ABD" w:rsidRDefault="00D60ABD" w:rsidP="00D60ABD">
      <w:pPr>
        <w:ind w:firstLineChars="0" w:firstLine="0"/>
        <w:rPr>
          <w:rFonts w:eastAsiaTheme="minorEastAsia"/>
        </w:rPr>
      </w:pPr>
    </w:p>
    <w:p w:rsidR="00875396" w:rsidRPr="00875396" w:rsidRDefault="00875396" w:rsidP="00D60ABD">
      <w:pPr>
        <w:ind w:firstLineChars="0" w:firstLine="0"/>
        <w:rPr>
          <w:rFonts w:eastAsiaTheme="minorEastAsia"/>
        </w:rPr>
      </w:pPr>
    </w:p>
    <w:p w:rsidR="009C2111" w:rsidRDefault="0034153C" w:rsidP="00D60ABD">
      <w:pPr>
        <w:pStyle w:val="ab"/>
      </w:pPr>
      <w:r>
        <w:rPr>
          <w:rFonts w:hint="eastAsia"/>
        </w:rPr>
        <w:t>Supplementary</w:t>
      </w:r>
      <w:r w:rsidR="00FC6E29">
        <w:rPr>
          <w:rFonts w:hint="eastAsia"/>
        </w:rPr>
        <w:t xml:space="preserve"> Table 5</w:t>
      </w:r>
      <w:r w:rsidR="00FC6E29">
        <w:t>. Subgroup analyses of ARAEs in the matched population</w:t>
      </w:r>
      <w:r w:rsidR="00D60ABD"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1012"/>
        <w:gridCol w:w="1701"/>
      </w:tblGrid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Subgroup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Hazard ratio (95%CI)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P</w:t>
            </w:r>
            <w:r>
              <w:rPr>
                <w:rFonts w:eastAsia="宋体"/>
                <w:b/>
                <w:bCs/>
                <w:color w:val="000000"/>
                <w:kern w:val="0"/>
              </w:rPr>
              <w:t xml:space="preserve"> </w:t>
            </w: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value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P</w:t>
            </w:r>
            <w:r>
              <w:rPr>
                <w:rFonts w:eastAsia="宋体"/>
                <w:b/>
                <w:bCs/>
                <w:color w:val="000000"/>
                <w:kern w:val="0"/>
              </w:rPr>
              <w:t xml:space="preserve"> </w:t>
            </w: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for interaction*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Age group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0.429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&lt;60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2.05 (1.08-3.87)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≥60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2.15 (1.15-4.03)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Stroke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0.945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no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1.82 (1.15, 2.88)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lastRenderedPageBreak/>
              <w:t>yes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4.61 (1.61, 13.19)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proofErr w:type="spellStart"/>
            <w:r w:rsidRPr="00D60ABD">
              <w:rPr>
                <w:rFonts w:eastAsia="宋体"/>
                <w:b/>
                <w:bCs/>
                <w:color w:val="000000"/>
                <w:kern w:val="0"/>
              </w:rPr>
              <w:t>Malperfusion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0.399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no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1.83 (1.16-2.91)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yes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3.63 (1.51-8.76)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Timing of operation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0.963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Acute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1.97 (0.99-3.91)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Subacute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2.75 (1.31-5.75)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Chronic phase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4.34 (1.91-9.84)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&lt;0.0001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Chimney procedure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0.25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no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1.51 (0.91-2.51)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yes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3.18 (1.76-5.75)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&lt;0.0001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Adjunctive procedure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0.524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no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1.68 (1.03-2.75)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yes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2.05 (1.03-4.05)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b/>
                <w:bCs/>
                <w:color w:val="000000"/>
                <w:kern w:val="0"/>
              </w:rPr>
            </w:pPr>
            <w:r w:rsidRPr="00D60ABD">
              <w:rPr>
                <w:rFonts w:eastAsia="宋体"/>
                <w:b/>
                <w:bCs/>
                <w:color w:val="000000"/>
                <w:kern w:val="0"/>
              </w:rPr>
              <w:t>Hybrid approach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kern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0.321</w:t>
            </w: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  <w:highlight w:val="yellow"/>
              </w:rPr>
            </w:pPr>
            <w:r w:rsidRPr="00D60ABD">
              <w:rPr>
                <w:rFonts w:eastAsia="宋体"/>
                <w:color w:val="000000"/>
                <w:kern w:val="0"/>
              </w:rPr>
              <w:t>no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1.84 (1.18, 2.86)</w:t>
            </w:r>
          </w:p>
        </w:tc>
        <w:tc>
          <w:tcPr>
            <w:tcW w:w="10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0.007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  <w:tr w:rsidR="00D60ABD" w:rsidRPr="00D60ABD" w:rsidTr="00875396">
        <w:trPr>
          <w:trHeight w:val="369"/>
          <w:jc w:val="center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100" w:firstLine="21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yes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20.11 (2.68, 150.83)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  <w:r w:rsidRPr="00D60ABD">
              <w:rPr>
                <w:rFonts w:eastAsia="宋体"/>
                <w:color w:val="000000"/>
                <w:kern w:val="0"/>
              </w:rPr>
              <w:t>0.031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ABD" w:rsidRPr="00D60ABD" w:rsidRDefault="00D60ABD" w:rsidP="00D60ABD">
            <w:pPr>
              <w:widowControl/>
              <w:spacing w:line="240" w:lineRule="atLeast"/>
              <w:ind w:firstLineChars="0" w:firstLine="0"/>
              <w:rPr>
                <w:rFonts w:eastAsia="宋体"/>
                <w:color w:val="000000"/>
                <w:kern w:val="0"/>
              </w:rPr>
            </w:pPr>
          </w:p>
        </w:tc>
      </w:tr>
    </w:tbl>
    <w:p w:rsidR="009C2111" w:rsidRDefault="00FC6E29" w:rsidP="00D60ABD">
      <w:pPr>
        <w:ind w:firstLineChars="0" w:firstLine="0"/>
      </w:pPr>
      <w:r>
        <w:t>*Interaction between SRC and hypertension on ARAEs were investigated. ARAEs</w:t>
      </w:r>
      <w:r w:rsidR="00D60ABD">
        <w:t xml:space="preserve">, </w:t>
      </w:r>
      <w:r>
        <w:t>aortic-related adverse events; SRC</w:t>
      </w:r>
      <w:r w:rsidR="00D60ABD">
        <w:t xml:space="preserve">, </w:t>
      </w:r>
      <w:r>
        <w:t>simple renal cyst; CI</w:t>
      </w:r>
      <w:r w:rsidR="00D60ABD">
        <w:t xml:space="preserve">, </w:t>
      </w:r>
      <w:r>
        <w:t>confidence interval.</w:t>
      </w:r>
    </w:p>
    <w:sectPr w:rsidR="009C2111" w:rsidSect="00FC6E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283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464" w:rsidRDefault="00476464">
      <w:pPr>
        <w:ind w:firstLine="420"/>
      </w:pPr>
      <w:r>
        <w:separator/>
      </w:r>
    </w:p>
  </w:endnote>
  <w:endnote w:type="continuationSeparator" w:id="0">
    <w:p w:rsidR="00476464" w:rsidRDefault="0047646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00006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Default="00FC6E2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Default="00FC6E2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Default="00FC6E2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464" w:rsidRDefault="00476464">
      <w:pPr>
        <w:ind w:firstLine="420"/>
      </w:pPr>
      <w:r>
        <w:separator/>
      </w:r>
    </w:p>
  </w:footnote>
  <w:footnote w:type="continuationSeparator" w:id="0">
    <w:p w:rsidR="00476464" w:rsidRDefault="0047646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Default="00FC6E29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Pr="0034153C" w:rsidRDefault="00FC6E29" w:rsidP="0034153C">
    <w:pPr>
      <w:ind w:right="420" w:firstLineChars="0" w:firstLine="0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E29" w:rsidRDefault="00FC6E29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3B720F02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3C"/>
    <w:rsid w:val="000139E4"/>
    <w:rsid w:val="0003235A"/>
    <w:rsid w:val="00034851"/>
    <w:rsid w:val="00097F00"/>
    <w:rsid w:val="000B0BEC"/>
    <w:rsid w:val="00116CDE"/>
    <w:rsid w:val="0012172D"/>
    <w:rsid w:val="00127325"/>
    <w:rsid w:val="0014790F"/>
    <w:rsid w:val="001D32E3"/>
    <w:rsid w:val="001D53F4"/>
    <w:rsid w:val="001D73F1"/>
    <w:rsid w:val="001F44F2"/>
    <w:rsid w:val="00215656"/>
    <w:rsid w:val="00272826"/>
    <w:rsid w:val="00276D3F"/>
    <w:rsid w:val="00283D6F"/>
    <w:rsid w:val="002A45E7"/>
    <w:rsid w:val="002F6243"/>
    <w:rsid w:val="0034153C"/>
    <w:rsid w:val="00346235"/>
    <w:rsid w:val="003A3C43"/>
    <w:rsid w:val="003A6461"/>
    <w:rsid w:val="003C4796"/>
    <w:rsid w:val="003F6D7C"/>
    <w:rsid w:val="00457870"/>
    <w:rsid w:val="00476464"/>
    <w:rsid w:val="00483884"/>
    <w:rsid w:val="004C47C6"/>
    <w:rsid w:val="00511B37"/>
    <w:rsid w:val="00552E8D"/>
    <w:rsid w:val="00571AEF"/>
    <w:rsid w:val="00585924"/>
    <w:rsid w:val="005A66A2"/>
    <w:rsid w:val="005A7BD6"/>
    <w:rsid w:val="005E011E"/>
    <w:rsid w:val="00610622"/>
    <w:rsid w:val="0061454B"/>
    <w:rsid w:val="00617482"/>
    <w:rsid w:val="006535F9"/>
    <w:rsid w:val="0065558C"/>
    <w:rsid w:val="006C590B"/>
    <w:rsid w:val="006F706D"/>
    <w:rsid w:val="00725275"/>
    <w:rsid w:val="007561E9"/>
    <w:rsid w:val="007E1CB5"/>
    <w:rsid w:val="00875396"/>
    <w:rsid w:val="00940287"/>
    <w:rsid w:val="009C2111"/>
    <w:rsid w:val="00A5008F"/>
    <w:rsid w:val="00A54EBE"/>
    <w:rsid w:val="00A559A5"/>
    <w:rsid w:val="00A73593"/>
    <w:rsid w:val="00A840F7"/>
    <w:rsid w:val="00AA371D"/>
    <w:rsid w:val="00B52555"/>
    <w:rsid w:val="00B631F4"/>
    <w:rsid w:val="00B72EDC"/>
    <w:rsid w:val="00BB0ABE"/>
    <w:rsid w:val="00C42BFD"/>
    <w:rsid w:val="00C73615"/>
    <w:rsid w:val="00CC07B2"/>
    <w:rsid w:val="00D50263"/>
    <w:rsid w:val="00D60245"/>
    <w:rsid w:val="00D60ABD"/>
    <w:rsid w:val="00DA3D6C"/>
    <w:rsid w:val="00DD23BA"/>
    <w:rsid w:val="00DF5D43"/>
    <w:rsid w:val="00E349ED"/>
    <w:rsid w:val="00F21C01"/>
    <w:rsid w:val="00F42177"/>
    <w:rsid w:val="00F80BBB"/>
    <w:rsid w:val="00F9383C"/>
    <w:rsid w:val="00FB2CF6"/>
    <w:rsid w:val="00FC6E29"/>
    <w:rsid w:val="077D3A68"/>
    <w:rsid w:val="17A90A19"/>
    <w:rsid w:val="1F597698"/>
    <w:rsid w:val="1F666A5C"/>
    <w:rsid w:val="2BFA45EF"/>
    <w:rsid w:val="67B64D26"/>
    <w:rsid w:val="76ED5C17"/>
    <w:rsid w:val="7D3213E6"/>
    <w:rsid w:val="7F3E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FE8D89"/>
  <w15:docId w15:val="{97A5536C-8F7C-438E-BCE9-6BB0C726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53C"/>
    <w:pPr>
      <w:widowControl w:val="0"/>
      <w:ind w:firstLineChars="200" w:firstLine="200"/>
      <w:jc w:val="both"/>
    </w:pPr>
    <w:rPr>
      <w:rFonts w:eastAsia="Times New Roman"/>
      <w:kern w:val="2"/>
      <w:sz w:val="21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34153C"/>
    <w:pPr>
      <w:autoSpaceDE w:val="0"/>
      <w:autoSpaceDN w:val="0"/>
      <w:adjustRightInd w:val="0"/>
      <w:spacing w:beforeLines="100" w:before="312" w:afterLines="100" w:after="312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34153C"/>
    <w:pPr>
      <w:keepNext/>
      <w:keepLines/>
      <w:spacing w:beforeLines="50" w:before="156" w:afterLines="50" w:after="156"/>
      <w:ind w:left="578" w:firstLineChars="0" w:hanging="578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34153C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34153C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53C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53C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53C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53C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5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1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1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sid w:val="0034153C"/>
    <w:rPr>
      <w:rFonts w:eastAsia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153C"/>
    <w:rPr>
      <w:rFonts w:eastAsia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4153C"/>
    <w:rPr>
      <w:rFonts w:eastAsia="Times New Roman"/>
      <w:kern w:val="2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hint="eastAsia"/>
      <w:color w:val="000000"/>
      <w:sz w:val="18"/>
      <w:szCs w:val="18"/>
      <w:u w:val="none"/>
    </w:rPr>
  </w:style>
  <w:style w:type="paragraph" w:customStyle="1" w:styleId="Abstract">
    <w:name w:val="Abstract"/>
    <w:basedOn w:val="a"/>
    <w:autoRedefine/>
    <w:qFormat/>
    <w:rsid w:val="0034153C"/>
    <w:pPr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a"/>
    <w:autoRedefine/>
    <w:qFormat/>
    <w:rsid w:val="0034153C"/>
    <w:pPr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a"/>
    <w:link w:val="References0"/>
    <w:autoRedefine/>
    <w:qFormat/>
    <w:rsid w:val="0034153C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rsid w:val="0034153C"/>
    <w:rPr>
      <w:rFonts w:eastAsia="Times New Roman"/>
      <w:b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4153C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a">
    <w:name w:val="版权信息"/>
    <w:basedOn w:val="a"/>
    <w:autoRedefine/>
    <w:qFormat/>
    <w:rsid w:val="0034153C"/>
    <w:pPr>
      <w:ind w:firstLineChars="0" w:firstLine="0"/>
    </w:pPr>
  </w:style>
  <w:style w:type="character" w:customStyle="1" w:styleId="10">
    <w:name w:val="标题 1 字符"/>
    <w:aliases w:val="一级标题 字符"/>
    <w:link w:val="1"/>
    <w:uiPriority w:val="1"/>
    <w:rsid w:val="0034153C"/>
    <w:rPr>
      <w:rFonts w:eastAsia="Times New Roman" w:cs="Book Antiqua"/>
      <w:b/>
      <w:bCs/>
      <w:sz w:val="24"/>
    </w:rPr>
  </w:style>
  <w:style w:type="character" w:customStyle="1" w:styleId="20">
    <w:name w:val="标题 2 字符"/>
    <w:aliases w:val="二级标题 字符"/>
    <w:link w:val="2"/>
    <w:uiPriority w:val="9"/>
    <w:rsid w:val="0034153C"/>
    <w:rPr>
      <w:rFonts w:eastAsia="Times New Roman"/>
      <w:b/>
      <w:bCs/>
      <w:i/>
      <w:kern w:val="2"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34153C"/>
    <w:rPr>
      <w:rFonts w:eastAsia="Times New Roman"/>
      <w:bCs/>
      <w:i/>
      <w:kern w:val="2"/>
      <w:sz w:val="22"/>
      <w:szCs w:val="32"/>
    </w:rPr>
  </w:style>
  <w:style w:type="character" w:customStyle="1" w:styleId="40">
    <w:name w:val="标题 4 字符"/>
    <w:link w:val="4"/>
    <w:uiPriority w:val="9"/>
    <w:rsid w:val="0034153C"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34153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34153C"/>
    <w:rPr>
      <w:rFonts w:eastAsia="Times New Roman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34153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34153C"/>
    <w:rPr>
      <w:rFonts w:asciiTheme="majorHAnsi" w:eastAsiaTheme="majorEastAsia" w:hAnsiTheme="majorHAnsi" w:cstheme="majorBidi"/>
      <w:kern w:val="2"/>
      <w:sz w:val="21"/>
      <w:szCs w:val="21"/>
    </w:rPr>
  </w:style>
  <w:style w:type="paragraph" w:customStyle="1" w:styleId="ab">
    <w:name w:val="表题"/>
    <w:basedOn w:val="a"/>
    <w:autoRedefine/>
    <w:qFormat/>
    <w:rsid w:val="0034153C"/>
    <w:pPr>
      <w:adjustRightInd w:val="0"/>
      <w:snapToGrid w:val="0"/>
      <w:spacing w:before="240" w:after="240" w:line="288" w:lineRule="auto"/>
      <w:ind w:leftChars="200" w:left="420" w:firstLineChars="0" w:firstLine="0"/>
      <w:jc w:val="center"/>
    </w:pPr>
    <w:rPr>
      <w:b/>
    </w:rPr>
  </w:style>
  <w:style w:type="paragraph" w:customStyle="1" w:styleId="ac">
    <w:name w:val="表注"/>
    <w:basedOn w:val="ab"/>
    <w:autoRedefine/>
    <w:qFormat/>
    <w:rsid w:val="0034153C"/>
    <w:pPr>
      <w:spacing w:before="0"/>
      <w:ind w:rightChars="200" w:right="420" w:firstLineChars="100" w:firstLine="210"/>
    </w:pPr>
    <w:rPr>
      <w:b w:val="0"/>
    </w:rPr>
  </w:style>
  <w:style w:type="paragraph" w:customStyle="1" w:styleId="ad">
    <w:name w:val="参考文献"/>
    <w:basedOn w:val="a"/>
    <w:autoRedefine/>
    <w:qFormat/>
    <w:rsid w:val="0034153C"/>
    <w:pPr>
      <w:ind w:left="360" w:hangingChars="200" w:hanging="360"/>
    </w:pPr>
    <w:rPr>
      <w:rFonts w:eastAsiaTheme="minorEastAsia" w:cstheme="minorBidi"/>
      <w:sz w:val="18"/>
      <w:szCs w:val="24"/>
    </w:rPr>
  </w:style>
  <w:style w:type="character" w:styleId="ae">
    <w:name w:val="Hyperlink"/>
    <w:uiPriority w:val="99"/>
    <w:unhideWhenUsed/>
    <w:rsid w:val="0034153C"/>
    <w:rPr>
      <w:color w:val="0563C1"/>
      <w:u w:val="single"/>
    </w:rPr>
  </w:style>
  <w:style w:type="paragraph" w:customStyle="1" w:styleId="af">
    <w:name w:val="稿件类型"/>
    <w:basedOn w:val="a"/>
    <w:autoRedefine/>
    <w:qFormat/>
    <w:rsid w:val="0034153C"/>
    <w:pPr>
      <w:ind w:firstLineChars="0" w:firstLine="0"/>
      <w:jc w:val="left"/>
    </w:pPr>
    <w:rPr>
      <w:rFonts w:eastAsia="宋体" w:cstheme="minorBidi"/>
      <w:i/>
      <w:sz w:val="20"/>
    </w:rPr>
  </w:style>
  <w:style w:type="paragraph" w:customStyle="1" w:styleId="af0">
    <w:name w:val="关键词"/>
    <w:basedOn w:val="Keywords"/>
    <w:autoRedefine/>
    <w:qFormat/>
    <w:rsid w:val="0034153C"/>
    <w:rPr>
      <w:rFonts w:eastAsia="Times New Roman"/>
      <w:b w:val="0"/>
    </w:rPr>
  </w:style>
  <w:style w:type="character" w:styleId="af1">
    <w:name w:val="line number"/>
    <w:uiPriority w:val="99"/>
    <w:semiHidden/>
    <w:unhideWhenUsed/>
    <w:rsid w:val="0034153C"/>
  </w:style>
  <w:style w:type="paragraph" w:customStyle="1" w:styleId="af2">
    <w:name w:val="机构信息"/>
    <w:basedOn w:val="a"/>
    <w:link w:val="af3"/>
    <w:autoRedefine/>
    <w:qFormat/>
    <w:rsid w:val="0034153C"/>
    <w:pPr>
      <w:ind w:firstLineChars="0" w:firstLine="0"/>
    </w:pPr>
    <w:rPr>
      <w:rFonts w:cstheme="minorBidi"/>
    </w:rPr>
  </w:style>
  <w:style w:type="character" w:customStyle="1" w:styleId="af3">
    <w:name w:val="机构信息 字符"/>
    <w:link w:val="af2"/>
    <w:rsid w:val="0034153C"/>
    <w:rPr>
      <w:rFonts w:eastAsia="Times New Roman" w:cstheme="minorBidi"/>
      <w:kern w:val="2"/>
      <w:sz w:val="21"/>
      <w:szCs w:val="21"/>
    </w:rPr>
  </w:style>
  <w:style w:type="paragraph" w:customStyle="1" w:styleId="af4">
    <w:name w:val="接收日期"/>
    <w:basedOn w:val="a"/>
    <w:autoRedefine/>
    <w:qFormat/>
    <w:rsid w:val="0034153C"/>
    <w:pPr>
      <w:ind w:firstLineChars="0" w:firstLine="0"/>
    </w:pPr>
  </w:style>
  <w:style w:type="paragraph" w:styleId="af5">
    <w:name w:val="List Paragraph"/>
    <w:basedOn w:val="a"/>
    <w:uiPriority w:val="1"/>
    <w:qFormat/>
    <w:rsid w:val="0034153C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styleId="af6">
    <w:name w:val="caption"/>
    <w:basedOn w:val="a"/>
    <w:next w:val="a"/>
    <w:uiPriority w:val="35"/>
    <w:unhideWhenUsed/>
    <w:qFormat/>
    <w:rsid w:val="0034153C"/>
    <w:rPr>
      <w:rFonts w:ascii="等线 Light" w:eastAsia="黑体" w:hAnsi="等线 Light"/>
      <w:sz w:val="20"/>
      <w:szCs w:val="20"/>
    </w:rPr>
  </w:style>
  <w:style w:type="paragraph" w:customStyle="1" w:styleId="af7">
    <w:name w:val="通讯作者"/>
    <w:basedOn w:val="a"/>
    <w:autoRedefine/>
    <w:qFormat/>
    <w:rsid w:val="0034153C"/>
    <w:pPr>
      <w:ind w:firstLineChars="0" w:firstLine="0"/>
    </w:pPr>
  </w:style>
  <w:style w:type="paragraph" w:customStyle="1" w:styleId="af8">
    <w:name w:val="图注"/>
    <w:basedOn w:val="ac"/>
    <w:autoRedefine/>
    <w:qFormat/>
    <w:rsid w:val="0034153C"/>
    <w:pPr>
      <w:spacing w:beforeLines="100" w:before="100" w:after="100"/>
      <w:ind w:leftChars="0" w:left="0" w:right="200" w:firstLineChars="0" w:firstLine="0"/>
    </w:pPr>
  </w:style>
  <w:style w:type="table" w:customStyle="1" w:styleId="5-11">
    <w:name w:val="网格表 5 深色 - 着色 11"/>
    <w:basedOn w:val="a1"/>
    <w:uiPriority w:val="50"/>
    <w:qFormat/>
    <w:rsid w:val="0034153C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34153C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34153C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af9">
    <w:name w:val="文章标题"/>
    <w:basedOn w:val="a"/>
    <w:link w:val="afa"/>
    <w:autoRedefine/>
    <w:qFormat/>
    <w:rsid w:val="0034153C"/>
    <w:pPr>
      <w:kinsoku w:val="0"/>
      <w:overflowPunct w:val="0"/>
      <w:autoSpaceDE w:val="0"/>
      <w:autoSpaceDN w:val="0"/>
      <w:adjustRightInd w:val="0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fa">
    <w:name w:val="文章标题 字符"/>
    <w:link w:val="af9"/>
    <w:rsid w:val="0034153C"/>
    <w:rPr>
      <w:rFonts w:eastAsia="Times New Roman" w:cstheme="minorBidi"/>
      <w:b/>
      <w:bCs/>
      <w:spacing w:val="-8"/>
      <w:kern w:val="2"/>
      <w:sz w:val="36"/>
      <w:szCs w:val="36"/>
    </w:rPr>
  </w:style>
  <w:style w:type="numbering" w:customStyle="1" w:styleId="11">
    <w:name w:val="无列表1"/>
    <w:next w:val="a2"/>
    <w:uiPriority w:val="99"/>
    <w:semiHidden/>
    <w:unhideWhenUsed/>
    <w:rsid w:val="0034153C"/>
  </w:style>
  <w:style w:type="paragraph" w:customStyle="1" w:styleId="afb">
    <w:name w:val="摘要"/>
    <w:basedOn w:val="Abstract"/>
    <w:autoRedefine/>
    <w:qFormat/>
    <w:rsid w:val="0034153C"/>
    <w:rPr>
      <w:b w:val="0"/>
      <w:sz w:val="21"/>
      <w:szCs w:val="21"/>
    </w:rPr>
  </w:style>
  <w:style w:type="paragraph" w:styleId="afc">
    <w:name w:val="Body Text"/>
    <w:basedOn w:val="a"/>
    <w:link w:val="afd"/>
    <w:autoRedefine/>
    <w:uiPriority w:val="1"/>
    <w:qFormat/>
    <w:rsid w:val="0034153C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d">
    <w:name w:val="正文文本 字符"/>
    <w:link w:val="afc"/>
    <w:uiPriority w:val="1"/>
    <w:rsid w:val="0034153C"/>
    <w:rPr>
      <w:rFonts w:eastAsia="Times New Roman"/>
      <w:sz w:val="21"/>
      <w:szCs w:val="21"/>
    </w:rPr>
  </w:style>
  <w:style w:type="paragraph" w:customStyle="1" w:styleId="afe">
    <w:name w:val="致谢部分"/>
    <w:basedOn w:val="afc"/>
    <w:link w:val="aff"/>
    <w:autoRedefine/>
    <w:qFormat/>
    <w:rsid w:val="0034153C"/>
    <w:pPr>
      <w:ind w:firstLineChars="0" w:firstLine="0"/>
    </w:pPr>
    <w:rPr>
      <w:b/>
      <w:sz w:val="24"/>
      <w:szCs w:val="24"/>
    </w:rPr>
  </w:style>
  <w:style w:type="character" w:customStyle="1" w:styleId="aff">
    <w:name w:val="致谢部分 字符"/>
    <w:basedOn w:val="afd"/>
    <w:link w:val="afe"/>
    <w:rsid w:val="0034153C"/>
    <w:rPr>
      <w:rFonts w:eastAsia="Times New Roman"/>
      <w:b/>
      <w:sz w:val="24"/>
      <w:szCs w:val="24"/>
    </w:rPr>
  </w:style>
  <w:style w:type="paragraph" w:customStyle="1" w:styleId="aff0">
    <w:name w:val="作者信息"/>
    <w:basedOn w:val="a"/>
    <w:autoRedefine/>
    <w:qFormat/>
    <w:rsid w:val="0034153C"/>
    <w:pPr>
      <w:ind w:firstLineChars="0" w:firstLine="0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8B40FE-F4B0-4712-BE71-AF04FD5C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790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 hongqiao</dc:creator>
  <cp:lastModifiedBy>Tony</cp:lastModifiedBy>
  <cp:revision>38</cp:revision>
  <dcterms:created xsi:type="dcterms:W3CDTF">2021-02-12T14:00:00Z</dcterms:created>
  <dcterms:modified xsi:type="dcterms:W3CDTF">2022-05-24T05:22:00Z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A455EB1335EB45A1B5B2A881DB7E9D2C</vt:lpwstr>
  </property>
</Properties>
</file>